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75A7" w:rsidRPr="00E439B6" w:rsidRDefault="00E439B6" w:rsidP="006C59A2">
      <w:pPr>
        <w:spacing w:line="480" w:lineRule="auto"/>
        <w:rPr>
          <w:rFonts w:ascii="Arial" w:hAnsi="Arial" w:cs="Arial"/>
          <w:b/>
          <w:lang w:val="en-GB"/>
        </w:rPr>
      </w:pPr>
      <w:r w:rsidRPr="00E439B6">
        <w:rPr>
          <w:rFonts w:ascii="Arial" w:hAnsi="Arial" w:cs="Arial"/>
          <w:b/>
          <w:lang w:val="en-GB"/>
        </w:rPr>
        <w:t>SUPPLEMENTARY INFORMATION</w:t>
      </w:r>
    </w:p>
    <w:p w:rsidR="008175A7" w:rsidRPr="00E439B6" w:rsidRDefault="008175A7" w:rsidP="006C59A2">
      <w:pPr>
        <w:spacing w:line="480" w:lineRule="auto"/>
        <w:rPr>
          <w:rFonts w:ascii="Arial" w:hAnsi="Arial" w:cs="Arial"/>
          <w:b/>
          <w:lang w:val="en-GB"/>
        </w:rPr>
      </w:pPr>
    </w:p>
    <w:p w:rsidR="008175A7" w:rsidRPr="00E439B6" w:rsidRDefault="008175A7" w:rsidP="006C59A2">
      <w:pPr>
        <w:spacing w:line="480" w:lineRule="auto"/>
        <w:rPr>
          <w:rFonts w:ascii="Arial" w:hAnsi="Arial" w:cs="Arial"/>
          <w:b/>
          <w:lang w:val="en-GB"/>
        </w:rPr>
      </w:pPr>
    </w:p>
    <w:p w:rsidR="008175A7" w:rsidRPr="00E439B6" w:rsidRDefault="008175A7">
      <w:pPr>
        <w:spacing w:line="480" w:lineRule="auto"/>
        <w:jc w:val="center"/>
        <w:rPr>
          <w:rFonts w:ascii="Arial" w:hAnsi="Arial" w:cs="Arial"/>
          <w:lang w:val="en-GB"/>
        </w:rPr>
      </w:pPr>
      <w:r w:rsidRPr="00E439B6">
        <w:rPr>
          <w:rFonts w:ascii="Arial" w:hAnsi="Arial" w:cs="Arial"/>
          <w:lang w:val="en-GB"/>
        </w:rPr>
        <w:t xml:space="preserve">Cannabis Use Induces Distinctive Proteomic Alterations in Olfactory Neuroepithelial Cells </w:t>
      </w:r>
    </w:p>
    <w:p w:rsidR="008175A7" w:rsidRPr="00C54536" w:rsidRDefault="008175A7">
      <w:pPr>
        <w:spacing w:line="480" w:lineRule="auto"/>
        <w:jc w:val="center"/>
        <w:rPr>
          <w:rFonts w:ascii="Arial" w:hAnsi="Arial" w:cs="Arial"/>
          <w:bCs/>
        </w:rPr>
      </w:pPr>
      <w:r w:rsidRPr="00C54536">
        <w:rPr>
          <w:rFonts w:ascii="Arial" w:hAnsi="Arial" w:cs="Arial"/>
        </w:rPr>
        <w:t xml:space="preserve">Of </w:t>
      </w:r>
      <w:proofErr w:type="spellStart"/>
      <w:r w:rsidRPr="00C54536">
        <w:rPr>
          <w:rFonts w:ascii="Arial" w:hAnsi="Arial" w:cs="Arial"/>
        </w:rPr>
        <w:t>Schizophrenia</w:t>
      </w:r>
      <w:proofErr w:type="spellEnd"/>
      <w:r w:rsidRPr="00C54536">
        <w:rPr>
          <w:rFonts w:ascii="Arial" w:hAnsi="Arial" w:cs="Arial"/>
        </w:rPr>
        <w:t xml:space="preserve"> </w:t>
      </w:r>
      <w:proofErr w:type="spellStart"/>
      <w:r w:rsidRPr="00C54536">
        <w:rPr>
          <w:rFonts w:ascii="Arial" w:hAnsi="Arial" w:cs="Arial"/>
        </w:rPr>
        <w:t>Patients</w:t>
      </w:r>
      <w:proofErr w:type="spellEnd"/>
    </w:p>
    <w:p w:rsidR="008175A7" w:rsidRPr="00C54536" w:rsidRDefault="008175A7" w:rsidP="006C59A2">
      <w:pPr>
        <w:spacing w:after="0" w:line="480" w:lineRule="auto"/>
        <w:jc w:val="center"/>
        <w:rPr>
          <w:rFonts w:ascii="Arial" w:hAnsi="Arial" w:cs="Arial"/>
          <w:bCs/>
        </w:rPr>
      </w:pPr>
    </w:p>
    <w:p w:rsidR="008175A7" w:rsidRPr="00C54536" w:rsidRDefault="008175A7" w:rsidP="006C59A2">
      <w:pPr>
        <w:spacing w:after="0" w:line="480" w:lineRule="auto"/>
        <w:jc w:val="center"/>
        <w:rPr>
          <w:rFonts w:ascii="Arial" w:hAnsi="Arial" w:cs="Arial"/>
          <w:bCs/>
        </w:rPr>
      </w:pPr>
    </w:p>
    <w:p w:rsidR="00EB4914" w:rsidRPr="00C54536" w:rsidRDefault="00EB4914" w:rsidP="00EB4914">
      <w:pPr>
        <w:spacing w:after="0" w:line="360" w:lineRule="auto"/>
        <w:jc w:val="center"/>
        <w:rPr>
          <w:rFonts w:ascii="Arial" w:hAnsi="Arial" w:cs="Arial"/>
          <w:bCs/>
          <w:vertAlign w:val="superscript"/>
        </w:rPr>
      </w:pPr>
      <w:r w:rsidRPr="00C54536">
        <w:rPr>
          <w:rFonts w:ascii="Arial" w:hAnsi="Arial" w:cs="Arial"/>
          <w:bCs/>
        </w:rPr>
        <w:t>Marta Barrera-Conde, MSc</w:t>
      </w:r>
      <w:r w:rsidRPr="00C54536">
        <w:rPr>
          <w:rFonts w:ascii="Arial" w:hAnsi="Arial" w:cs="Arial"/>
          <w:bCs/>
          <w:vertAlign w:val="superscript"/>
        </w:rPr>
        <w:t>1</w:t>
      </w:r>
      <w:proofErr w:type="gramStart"/>
      <w:r w:rsidRPr="00C54536">
        <w:rPr>
          <w:rFonts w:ascii="Arial" w:hAnsi="Arial" w:cs="Arial"/>
          <w:bCs/>
          <w:vertAlign w:val="superscript"/>
        </w:rPr>
        <w:t>,3</w:t>
      </w:r>
      <w:proofErr w:type="gramEnd"/>
      <w:r w:rsidRPr="00C54536">
        <w:rPr>
          <w:rFonts w:ascii="Arial" w:hAnsi="Arial" w:cs="Arial"/>
          <w:bCs/>
        </w:rPr>
        <w:t xml:space="preserve">,  Karina  </w:t>
      </w:r>
      <w:proofErr w:type="spellStart"/>
      <w:r w:rsidRPr="00C54536">
        <w:rPr>
          <w:rFonts w:ascii="Arial" w:hAnsi="Arial" w:cs="Arial"/>
          <w:bCs/>
        </w:rPr>
        <w:t>Ausin</w:t>
      </w:r>
      <w:proofErr w:type="spellEnd"/>
      <w:r w:rsidRPr="00C54536">
        <w:rPr>
          <w:rFonts w:ascii="Arial" w:hAnsi="Arial" w:cs="Arial"/>
          <w:bCs/>
        </w:rPr>
        <w:t>, PhD</w:t>
      </w:r>
      <w:r w:rsidRPr="00C54536">
        <w:rPr>
          <w:rFonts w:ascii="Arial" w:hAnsi="Arial" w:cs="Arial"/>
          <w:bCs/>
          <w:vertAlign w:val="superscript"/>
        </w:rPr>
        <w:t>2</w:t>
      </w:r>
      <w:r w:rsidRPr="00C54536">
        <w:rPr>
          <w:rFonts w:ascii="Arial" w:hAnsi="Arial" w:cs="Arial"/>
          <w:bCs/>
        </w:rPr>
        <w:t xml:space="preserve">, Mercedes </w:t>
      </w:r>
      <w:proofErr w:type="spellStart"/>
      <w:r w:rsidRPr="00C54536">
        <w:rPr>
          <w:rFonts w:ascii="Arial" w:hAnsi="Arial" w:cs="Arial"/>
          <w:bCs/>
        </w:rPr>
        <w:t>Lachén</w:t>
      </w:r>
      <w:proofErr w:type="spellEnd"/>
      <w:r w:rsidRPr="00C54536">
        <w:rPr>
          <w:rFonts w:ascii="Arial" w:hAnsi="Arial" w:cs="Arial"/>
          <w:bCs/>
        </w:rPr>
        <w:t>-Montes, PhD</w:t>
      </w:r>
      <w:r w:rsidRPr="00C54536">
        <w:rPr>
          <w:rFonts w:ascii="Arial" w:hAnsi="Arial" w:cs="Arial"/>
          <w:bCs/>
          <w:vertAlign w:val="superscript"/>
        </w:rPr>
        <w:t>2</w:t>
      </w:r>
      <w:r w:rsidRPr="00C54536">
        <w:rPr>
          <w:rFonts w:ascii="Arial" w:hAnsi="Arial" w:cs="Arial"/>
          <w:bCs/>
        </w:rPr>
        <w:t>, Joaquín Fernández-Irigoyen, PhD</w:t>
      </w:r>
      <w:r w:rsidRPr="00C54536">
        <w:rPr>
          <w:rFonts w:ascii="Arial" w:hAnsi="Arial" w:cs="Arial"/>
          <w:bCs/>
          <w:vertAlign w:val="superscript"/>
        </w:rPr>
        <w:t>2</w:t>
      </w:r>
      <w:r w:rsidRPr="00C54536">
        <w:rPr>
          <w:rFonts w:ascii="Arial" w:hAnsi="Arial" w:cs="Arial"/>
          <w:bCs/>
        </w:rPr>
        <w:t>, Liliana Galindo, PhD</w:t>
      </w:r>
      <w:r w:rsidRPr="00C54536">
        <w:rPr>
          <w:rFonts w:ascii="Arial" w:hAnsi="Arial" w:cs="Arial"/>
          <w:bCs/>
          <w:vertAlign w:val="superscript"/>
        </w:rPr>
        <w:t>5,6</w:t>
      </w:r>
      <w:r w:rsidRPr="00C54536">
        <w:rPr>
          <w:rFonts w:ascii="Arial" w:hAnsi="Arial" w:cs="Arial"/>
          <w:bCs/>
        </w:rPr>
        <w:t>, Aida Cuenca-Royo, PhD</w:t>
      </w:r>
      <w:r w:rsidRPr="00C54536">
        <w:rPr>
          <w:rFonts w:ascii="Arial" w:hAnsi="Arial" w:cs="Arial"/>
          <w:bCs/>
          <w:vertAlign w:val="superscript"/>
        </w:rPr>
        <w:t>1</w:t>
      </w:r>
      <w:r w:rsidRPr="00C54536">
        <w:rPr>
          <w:rFonts w:ascii="Arial" w:hAnsi="Arial" w:cs="Arial"/>
          <w:bCs/>
        </w:rPr>
        <w:t>, Cristina Fernández-Avilés</w:t>
      </w:r>
      <w:r w:rsidRPr="00C54536">
        <w:rPr>
          <w:rFonts w:ascii="Arial" w:hAnsi="Arial" w:cs="Arial"/>
          <w:bCs/>
          <w:vertAlign w:val="superscript"/>
        </w:rPr>
        <w:t>3</w:t>
      </w:r>
      <w:r w:rsidRPr="00C54536">
        <w:rPr>
          <w:rFonts w:ascii="Arial" w:hAnsi="Arial" w:cs="Arial"/>
          <w:bCs/>
        </w:rPr>
        <w:t>, Víctor Pérez, MD, PhD</w:t>
      </w:r>
      <w:r w:rsidRPr="00C54536">
        <w:rPr>
          <w:rFonts w:ascii="Arial" w:hAnsi="Arial" w:cs="Arial"/>
          <w:bCs/>
          <w:vertAlign w:val="superscript"/>
        </w:rPr>
        <w:t>6,7</w:t>
      </w:r>
      <w:r w:rsidRPr="00C54536">
        <w:rPr>
          <w:rFonts w:ascii="Arial" w:hAnsi="Arial" w:cs="Arial"/>
          <w:bCs/>
        </w:rPr>
        <w:t>, Rafael de la Torre, PhD</w:t>
      </w:r>
      <w:r w:rsidRPr="00C54536">
        <w:rPr>
          <w:rFonts w:ascii="Arial" w:hAnsi="Arial" w:cs="Arial"/>
          <w:bCs/>
          <w:vertAlign w:val="superscript"/>
        </w:rPr>
        <w:t>1,3,4</w:t>
      </w:r>
      <w:r w:rsidRPr="00C54536">
        <w:rPr>
          <w:rFonts w:ascii="Arial" w:hAnsi="Arial" w:cs="Arial"/>
          <w:bCs/>
        </w:rPr>
        <w:t>, Enrique Santamaría, PhD</w:t>
      </w:r>
      <w:r w:rsidRPr="00C54536">
        <w:rPr>
          <w:rFonts w:ascii="Arial" w:hAnsi="Arial" w:cs="Arial"/>
          <w:bCs/>
          <w:vertAlign w:val="superscript"/>
        </w:rPr>
        <w:t xml:space="preserve">2 </w:t>
      </w:r>
      <w:r w:rsidRPr="00C54536">
        <w:rPr>
          <w:rFonts w:ascii="Arial" w:hAnsi="Arial" w:cs="Arial"/>
          <w:bCs/>
        </w:rPr>
        <w:t>and Patricia Robledo, PhD</w:t>
      </w:r>
      <w:r w:rsidRPr="00C54536">
        <w:rPr>
          <w:rFonts w:ascii="Arial" w:hAnsi="Arial" w:cs="Arial"/>
          <w:bCs/>
          <w:vertAlign w:val="superscript"/>
        </w:rPr>
        <w:t>1,3*</w:t>
      </w:r>
    </w:p>
    <w:p w:rsidR="008175A7" w:rsidRPr="00C54536" w:rsidRDefault="008175A7" w:rsidP="006C59A2">
      <w:pPr>
        <w:spacing w:after="0" w:line="480" w:lineRule="auto"/>
        <w:jc w:val="center"/>
        <w:rPr>
          <w:rFonts w:ascii="Arial" w:hAnsi="Arial" w:cs="Arial"/>
          <w:bCs/>
        </w:rPr>
      </w:pPr>
    </w:p>
    <w:p w:rsidR="008175A7" w:rsidRPr="00C54536" w:rsidRDefault="008175A7" w:rsidP="006C59A2">
      <w:pPr>
        <w:spacing w:after="0" w:line="480" w:lineRule="auto"/>
        <w:jc w:val="center"/>
        <w:rPr>
          <w:rFonts w:ascii="Arial" w:hAnsi="Arial" w:cs="Arial"/>
          <w:bCs/>
        </w:rPr>
      </w:pPr>
    </w:p>
    <w:p w:rsidR="008175A7" w:rsidRPr="00C54536" w:rsidRDefault="008175A7" w:rsidP="006C59A2">
      <w:pPr>
        <w:spacing w:after="0" w:line="480" w:lineRule="auto"/>
        <w:jc w:val="center"/>
        <w:rPr>
          <w:rFonts w:ascii="Arial" w:hAnsi="Arial" w:cs="Arial"/>
          <w:bCs/>
        </w:rPr>
      </w:pPr>
    </w:p>
    <w:p w:rsidR="00B66A7C" w:rsidRPr="00C54536" w:rsidRDefault="00B66A7C" w:rsidP="006C59A2">
      <w:pPr>
        <w:spacing w:after="200" w:line="480" w:lineRule="auto"/>
        <w:rPr>
          <w:rFonts w:ascii="Arial" w:hAnsi="Arial" w:cs="Arial"/>
          <w:b/>
          <w:bCs/>
        </w:rPr>
      </w:pPr>
      <w:r w:rsidRPr="00C54536">
        <w:rPr>
          <w:rFonts w:ascii="Arial" w:hAnsi="Arial" w:cs="Arial"/>
          <w:b/>
          <w:bCs/>
        </w:rPr>
        <w:br w:type="page"/>
      </w:r>
    </w:p>
    <w:p w:rsidR="008175A7" w:rsidRPr="00E439B6" w:rsidRDefault="00E439B6" w:rsidP="006C59A2">
      <w:pPr>
        <w:spacing w:line="480" w:lineRule="auto"/>
        <w:jc w:val="both"/>
        <w:rPr>
          <w:rFonts w:ascii="Arial" w:hAnsi="Arial" w:cs="Arial"/>
          <w:b/>
          <w:bCs/>
          <w:lang w:val="en-GB"/>
        </w:rPr>
      </w:pPr>
      <w:r w:rsidRPr="00E439B6">
        <w:rPr>
          <w:rFonts w:ascii="Arial" w:hAnsi="Arial" w:cs="Arial"/>
          <w:b/>
          <w:bCs/>
          <w:lang w:val="en-GB"/>
        </w:rPr>
        <w:lastRenderedPageBreak/>
        <w:t>METHODS FOR PROTEOMIC STUDIES</w:t>
      </w:r>
    </w:p>
    <w:p w:rsidR="005161FF" w:rsidRPr="00E439B6" w:rsidRDefault="000A069F" w:rsidP="006C59A2">
      <w:pPr>
        <w:spacing w:line="480" w:lineRule="auto"/>
        <w:jc w:val="both"/>
        <w:rPr>
          <w:rFonts w:ascii="Arial" w:hAnsi="Arial" w:cs="Arial"/>
          <w:b/>
          <w:lang w:val="en-GB"/>
        </w:rPr>
      </w:pPr>
      <w:r w:rsidRPr="00E439B6">
        <w:rPr>
          <w:rFonts w:ascii="Arial" w:hAnsi="Arial" w:cs="Arial"/>
          <w:lang w:val="en-US"/>
        </w:rPr>
        <w:t>The homogenates were spun down at 100.000 × g for 1 h at 15 °C and protein concentration was measured by Bradford assay (</w:t>
      </w:r>
      <w:proofErr w:type="spellStart"/>
      <w:r w:rsidRPr="00E439B6">
        <w:rPr>
          <w:rFonts w:ascii="Arial" w:hAnsi="Arial" w:cs="Arial"/>
          <w:lang w:val="en-US"/>
        </w:rPr>
        <w:t>Bio-rad</w:t>
      </w:r>
      <w:proofErr w:type="spellEnd"/>
      <w:r w:rsidRPr="00E439B6">
        <w:rPr>
          <w:rFonts w:ascii="Arial" w:hAnsi="Arial" w:cs="Arial"/>
          <w:lang w:val="en-US"/>
        </w:rPr>
        <w:t xml:space="preserve">). Pool of aliquots of all samples in the sample sets were used as input for generating the SWATH-MS assay library. To increment the proteome coverage, in-solution and in-gel digestion workflows were applied. </w:t>
      </w:r>
      <w:r w:rsidRPr="00E439B6">
        <w:rPr>
          <w:rFonts w:ascii="Arial" w:eastAsia="Calibri" w:hAnsi="Arial" w:cs="Arial"/>
          <w:lang w:val="en-US"/>
        </w:rPr>
        <w:t xml:space="preserve">In the first one, protein material from each pooled sample was precipitated using methanol/chloroform extraction. Pellet was dissolved in 6 M urea, 100mM Tris, pH 7.8. Reduction was performed by addition of DTT to a final concentration of 10mM and incubation at 25ºC for 1 h. Subsequent alkylation by 30 mM iodoacetamide was performed for 1h in the dark. An additional reduction step was performed by 30mM DTT, allowing the reaction to stand at 25ºC for 1h. The mixture was diluted to 0.6M urea using </w:t>
      </w:r>
      <w:proofErr w:type="spellStart"/>
      <w:r w:rsidRPr="00E439B6">
        <w:rPr>
          <w:rFonts w:ascii="Arial" w:eastAsia="Calibri" w:hAnsi="Arial" w:cs="Arial"/>
          <w:lang w:val="en-US"/>
        </w:rPr>
        <w:t>MilliQ</w:t>
      </w:r>
      <w:proofErr w:type="spellEnd"/>
      <w:r w:rsidRPr="00E439B6">
        <w:rPr>
          <w:rFonts w:ascii="Arial" w:eastAsia="Calibri" w:hAnsi="Arial" w:cs="Arial"/>
          <w:lang w:val="en-US"/>
        </w:rPr>
        <w:t>-water, and after trypsin addition (</w:t>
      </w:r>
      <w:proofErr w:type="spellStart"/>
      <w:r w:rsidRPr="00E439B6">
        <w:rPr>
          <w:rFonts w:ascii="Arial" w:eastAsia="Calibri" w:hAnsi="Arial" w:cs="Arial"/>
          <w:lang w:val="en-US"/>
        </w:rPr>
        <w:t>Promega</w:t>
      </w:r>
      <w:proofErr w:type="spellEnd"/>
      <w:r w:rsidRPr="00E439B6">
        <w:rPr>
          <w:rFonts w:ascii="Arial" w:eastAsia="Calibri" w:hAnsi="Arial" w:cs="Arial"/>
          <w:lang w:val="en-US"/>
        </w:rPr>
        <w:t>) (</w:t>
      </w:r>
      <w:proofErr w:type="spellStart"/>
      <w:r w:rsidRPr="00E439B6">
        <w:rPr>
          <w:rFonts w:ascii="Arial" w:eastAsia="Calibri" w:hAnsi="Arial" w:cs="Arial"/>
          <w:lang w:val="en-US"/>
        </w:rPr>
        <w:t>enzyme</w:t>
      </w:r>
      <w:proofErr w:type="gramStart"/>
      <w:r w:rsidRPr="00E439B6">
        <w:rPr>
          <w:rFonts w:ascii="Arial" w:eastAsia="Calibri" w:hAnsi="Arial" w:cs="Arial"/>
          <w:lang w:val="en-US"/>
        </w:rPr>
        <w:t>:protein</w:t>
      </w:r>
      <w:proofErr w:type="spellEnd"/>
      <w:proofErr w:type="gramEnd"/>
      <w:r w:rsidRPr="00E439B6">
        <w:rPr>
          <w:rFonts w:ascii="Arial" w:eastAsia="Calibri" w:hAnsi="Arial" w:cs="Arial"/>
          <w:lang w:val="en-US"/>
        </w:rPr>
        <w:t xml:space="preserve">, 1:50 w/w), the sample was incubated at 37ºC for 16h. </w:t>
      </w:r>
      <w:r w:rsidRPr="00E439B6">
        <w:rPr>
          <w:rFonts w:ascii="Arial" w:hAnsi="Arial" w:cs="Arial"/>
          <w:lang w:val="en-US"/>
        </w:rPr>
        <w:t xml:space="preserve">Digestion was quenched by acidification with acetic acid. The digestion mixture was dried in a </w:t>
      </w:r>
      <w:proofErr w:type="spellStart"/>
      <w:r w:rsidRPr="00E439B6">
        <w:rPr>
          <w:rFonts w:ascii="Arial" w:hAnsi="Arial" w:cs="Arial"/>
          <w:lang w:val="en-US"/>
        </w:rPr>
        <w:t>SpeedVac</w:t>
      </w:r>
      <w:proofErr w:type="spellEnd"/>
      <w:r w:rsidRPr="00E439B6">
        <w:rPr>
          <w:rFonts w:ascii="Arial" w:hAnsi="Arial" w:cs="Arial"/>
          <w:lang w:val="en-US"/>
        </w:rPr>
        <w:t xml:space="preserve">, reconstituted with 40 ul of 5 mM ammonium bicarbonate (ABC) pH 9.8, and injected to an ÄKTA pure 25 system (GE Healthcare Life Sciences) with a high pH stable X-Terra RP18 column (C18; 2.1 mm × 150 mm; 3.5 </w:t>
      </w:r>
      <w:r w:rsidRPr="00E439B6">
        <w:rPr>
          <w:rFonts w:ascii="Arial" w:hAnsi="Arial" w:cs="Arial"/>
          <w:lang w:val="es-ES_tradnl"/>
        </w:rPr>
        <w:t>μ</w:t>
      </w:r>
      <w:r w:rsidRPr="00E439B6">
        <w:rPr>
          <w:rFonts w:ascii="Arial" w:hAnsi="Arial" w:cs="Arial"/>
          <w:lang w:val="en-US"/>
        </w:rPr>
        <w:t xml:space="preserve">m) (Waters). Peptides were eluted with a mobile phase B (5mM ammonium </w:t>
      </w:r>
      <w:proofErr w:type="spellStart"/>
      <w:r w:rsidRPr="00E439B6">
        <w:rPr>
          <w:rFonts w:ascii="Arial" w:hAnsi="Arial" w:cs="Arial"/>
          <w:lang w:val="en-US"/>
        </w:rPr>
        <w:t>formate</w:t>
      </w:r>
      <w:proofErr w:type="spellEnd"/>
      <w:r w:rsidRPr="00E439B6">
        <w:rPr>
          <w:rFonts w:ascii="Arial" w:hAnsi="Arial" w:cs="Arial"/>
          <w:lang w:val="en-US"/>
        </w:rPr>
        <w:t xml:space="preserve"> in 90% </w:t>
      </w:r>
      <w:proofErr w:type="spellStart"/>
      <w:r w:rsidRPr="00E439B6">
        <w:rPr>
          <w:rFonts w:ascii="Arial" w:hAnsi="Arial" w:cs="Arial"/>
          <w:lang w:val="en-US"/>
        </w:rPr>
        <w:t>ACN</w:t>
      </w:r>
      <w:proofErr w:type="spellEnd"/>
      <w:r w:rsidRPr="00E439B6">
        <w:rPr>
          <w:rFonts w:ascii="Arial" w:hAnsi="Arial" w:cs="Arial"/>
          <w:lang w:val="en-US"/>
        </w:rPr>
        <w:t xml:space="preserve"> at pH 9.8) of 30-70% linear gradient over 45 min (A, 5mM ammonium </w:t>
      </w:r>
      <w:proofErr w:type="spellStart"/>
      <w:r w:rsidRPr="00E439B6">
        <w:rPr>
          <w:rFonts w:ascii="Arial" w:hAnsi="Arial" w:cs="Arial"/>
          <w:lang w:val="en-US"/>
        </w:rPr>
        <w:t>formate</w:t>
      </w:r>
      <w:proofErr w:type="spellEnd"/>
      <w:r w:rsidRPr="00E439B6">
        <w:rPr>
          <w:rFonts w:ascii="Arial" w:hAnsi="Arial" w:cs="Arial"/>
          <w:lang w:val="en-US"/>
        </w:rPr>
        <w:t xml:space="preserve"> in water at pH 9.8; B, 5mM ammonium </w:t>
      </w:r>
      <w:proofErr w:type="spellStart"/>
      <w:r w:rsidRPr="00E439B6">
        <w:rPr>
          <w:rFonts w:ascii="Arial" w:hAnsi="Arial" w:cs="Arial"/>
          <w:lang w:val="en-US"/>
        </w:rPr>
        <w:t>formate</w:t>
      </w:r>
      <w:proofErr w:type="spellEnd"/>
      <w:r w:rsidRPr="00E439B6">
        <w:rPr>
          <w:rFonts w:ascii="Arial" w:hAnsi="Arial" w:cs="Arial"/>
          <w:lang w:val="en-US"/>
        </w:rPr>
        <w:t xml:space="preserve"> in 90% </w:t>
      </w:r>
      <w:proofErr w:type="spellStart"/>
      <w:r w:rsidRPr="00E439B6">
        <w:rPr>
          <w:rFonts w:ascii="Arial" w:hAnsi="Arial" w:cs="Arial"/>
          <w:lang w:val="en-US"/>
        </w:rPr>
        <w:t>ACN</w:t>
      </w:r>
      <w:proofErr w:type="spellEnd"/>
      <w:r w:rsidRPr="00E439B6">
        <w:rPr>
          <w:rFonts w:ascii="Arial" w:hAnsi="Arial" w:cs="Arial"/>
          <w:lang w:val="en-US"/>
        </w:rPr>
        <w:t xml:space="preserve"> at pH 9.8). The UV signal was monitored at 215nm. Fractions were collected and evaporated under vacuum. </w:t>
      </w:r>
      <w:r w:rsidR="000B5406" w:rsidRPr="00E439B6">
        <w:rPr>
          <w:rFonts w:ascii="Arial" w:hAnsi="Arial" w:cs="Arial"/>
          <w:lang w:val="en-US"/>
        </w:rPr>
        <w:t>Neighboring</w:t>
      </w:r>
      <w:r w:rsidRPr="00E439B6">
        <w:rPr>
          <w:rFonts w:ascii="Arial" w:hAnsi="Arial" w:cs="Arial"/>
          <w:lang w:val="en-US"/>
        </w:rPr>
        <w:t xml:space="preserve"> fractions with the low signal intensity were subsequently pooled to generate fractions with similar peptide content. For the second digestion protocol,</w:t>
      </w:r>
      <w:r w:rsidRPr="00E439B6">
        <w:rPr>
          <w:rFonts w:ascii="Arial" w:hAnsi="Arial" w:cs="Arial"/>
          <w:b/>
          <w:bCs/>
          <w:lang w:val="en-US"/>
        </w:rPr>
        <w:t xml:space="preserve"> </w:t>
      </w:r>
      <w:r w:rsidRPr="00E439B6">
        <w:rPr>
          <w:rFonts w:ascii="Arial" w:hAnsi="Arial" w:cs="Arial"/>
          <w:lang w:val="en-US"/>
        </w:rPr>
        <w:t xml:space="preserve">protein extracts (20 ug) were diluted in </w:t>
      </w:r>
      <w:proofErr w:type="spellStart"/>
      <w:r w:rsidRPr="00E439B6">
        <w:rPr>
          <w:rFonts w:ascii="Arial" w:hAnsi="Arial" w:cs="Arial"/>
          <w:lang w:val="en-US"/>
        </w:rPr>
        <w:t>Laemmli</w:t>
      </w:r>
      <w:proofErr w:type="spellEnd"/>
      <w:r w:rsidRPr="00E439B6">
        <w:rPr>
          <w:rFonts w:ascii="Arial" w:hAnsi="Arial" w:cs="Arial"/>
          <w:lang w:val="en-US"/>
        </w:rPr>
        <w:t xml:space="preserve"> sample buffer and loaded into a 0.75 mm thick polyacrylamide gel with a 4% stacking gel casted over a 12.5% resolving gel. Total gel was stained with Coomassie Brilliant Blue and 12 </w:t>
      </w:r>
      <w:proofErr w:type="gramStart"/>
      <w:r w:rsidRPr="00E439B6">
        <w:rPr>
          <w:rFonts w:ascii="Arial" w:hAnsi="Arial" w:cs="Arial"/>
          <w:lang w:val="en-US"/>
        </w:rPr>
        <w:t>equals</w:t>
      </w:r>
      <w:proofErr w:type="gramEnd"/>
      <w:r w:rsidRPr="00E439B6">
        <w:rPr>
          <w:rFonts w:ascii="Arial" w:hAnsi="Arial" w:cs="Arial"/>
          <w:lang w:val="en-US"/>
        </w:rPr>
        <w:t xml:space="preserve"> slides from each pooled sample were excised from the gel and transferred into 1.5 mL Eppendorf tubes. Protein enzymatic cleavage was carried out with trypsin (Promega; 1:20, w/w) at 37 °C for 16 h as previously described</w:t>
      </w:r>
      <w:r w:rsidRPr="004763A2">
        <w:rPr>
          <w:rFonts w:ascii="Arial" w:hAnsi="Arial" w:cs="Arial"/>
          <w:lang w:val="en-US"/>
        </w:rPr>
        <w:fldChar w:fldCharType="begin" w:fldLock="1"/>
      </w:r>
      <w:r w:rsidR="000B5406" w:rsidRPr="00E439B6">
        <w:rPr>
          <w:rFonts w:ascii="Arial" w:hAnsi="Arial" w:cs="Arial"/>
          <w:lang w:val="en-US"/>
        </w:rPr>
        <w:instrText>ADDIN CSL_CITATION { "citationItems" : [ { "id" : "ITEM-1", "itemData" : { "DOI" : "10.1038/nprot.2006.468", "ISSN" : "17542189", "PMID" : "17406544", "abstract" : "In-gel digestion of proteins isolated by gel electrophoresis is a cornerstone of mass spectrometry (MS)-driven proteomics. The 10-year-old recipe by Shevchenko et al. has been optimized to increase the speed and sensitivity of analysis. The protocol is for the in-gel digestion of both silver and Coomassie-stained protein spots or bands and can be followed by MALDI-MS or LC-MS/MS analysis to identify proteins at sensitivities better than a few femtomoles of protein starting material.", "author" : [ { "dropping-particle" : "", "family" : "Shevchenko", "given" : "Andrej", "non-dropping-particle" : "", "parse-names" : false, "suffix" : "" }, { "dropping-particle" : "", "family" : "Tomas", "given" : "Henrik", "non-dropping-particle" : "", "parse-names" : false, "suffix" : "" }, { "dropping-particle" : "", "family" : "Havli\u0161", "given" : "Jan", "non-dropping-particle" : "", "parse-names" : false, "suffix" : "" }, { "dropping-particle" : "V.", "family" : "Olsen", "given" : "Jesper", "non-dropping-particle" : "", "parse-names" : false, "suffix" : "" }, { "dropping-particle" : "", "family" : "Mann", "given" : "Matthias", "non-dropping-particle" : "", "parse-names" : false, "suffix" : "" } ], "container-title" : "Nature Protocols", "id" : "ITEM-1", "issue" : "6", "issued" : { "date-parts" : [ [ "2007" ] ] }, "page" : "2856-2860", "title" : "In-gel digestion for mass spectrometric characterization of proteins and proteomes", "type" : "article-journal", "volume" : "1" }, "uris" : [ "http://www.mendeley.com/documents/?uuid=4c24148b-2be9-4f7b-abd7-ab4ecee835bb" ] } ], "mendeley" : { "formattedCitation" : "&lt;sup&gt;1&lt;/sup&gt;", "plainTextFormattedCitation" : "1", "previouslyFormattedCitation" : "&lt;sup&gt;1&lt;/sup&gt;" }, "properties" : { "noteIndex" : 0 }, "schema" : "https://github.com/citation-style-language/schema/raw/master/csl-citation.json" }</w:instrText>
      </w:r>
      <w:r w:rsidRPr="004763A2">
        <w:rPr>
          <w:rFonts w:ascii="Arial" w:hAnsi="Arial" w:cs="Arial"/>
          <w:lang w:val="en-US"/>
        </w:rPr>
        <w:fldChar w:fldCharType="separate"/>
      </w:r>
      <w:r w:rsidRPr="00E439B6">
        <w:rPr>
          <w:rFonts w:ascii="Arial" w:hAnsi="Arial" w:cs="Arial"/>
          <w:noProof/>
          <w:vertAlign w:val="superscript"/>
          <w:lang w:val="en-US"/>
        </w:rPr>
        <w:t>1</w:t>
      </w:r>
      <w:r w:rsidRPr="004763A2">
        <w:rPr>
          <w:rFonts w:ascii="Arial" w:hAnsi="Arial" w:cs="Arial"/>
          <w:lang w:val="en-US"/>
        </w:rPr>
        <w:fldChar w:fldCharType="end"/>
      </w:r>
      <w:r w:rsidRPr="00E439B6">
        <w:rPr>
          <w:rFonts w:ascii="Arial" w:hAnsi="Arial" w:cs="Arial"/>
          <w:lang w:val="en-US"/>
        </w:rPr>
        <w:t>. Purification and concentration of peptides were performed using C18 Zip Tip Solid Phase Extraction (Millipore) and, when recovered from in-gel and in-</w:t>
      </w:r>
      <w:r w:rsidRPr="00E439B6">
        <w:rPr>
          <w:rFonts w:ascii="Arial" w:hAnsi="Arial" w:cs="Arial"/>
          <w:lang w:val="en-US"/>
        </w:rPr>
        <w:lastRenderedPageBreak/>
        <w:t xml:space="preserve">solution digestion processing peptides were reconstituted into a final concentration of 0.5µg/µL of 2% ACN, 0.5% FA, 97.5% </w:t>
      </w:r>
      <w:proofErr w:type="spellStart"/>
      <w:r w:rsidRPr="00E439B6">
        <w:rPr>
          <w:rFonts w:ascii="Arial" w:hAnsi="Arial" w:cs="Arial"/>
          <w:lang w:val="en-US"/>
        </w:rPr>
        <w:t>MilliQ</w:t>
      </w:r>
      <w:proofErr w:type="spellEnd"/>
      <w:r w:rsidRPr="00E439B6">
        <w:rPr>
          <w:rFonts w:ascii="Arial" w:hAnsi="Arial" w:cs="Arial"/>
          <w:lang w:val="en-US"/>
        </w:rPr>
        <w:t xml:space="preserve">-water prior to mass spectrometric analysis. MS/MS datasets for spectral library generation were acquired on a </w:t>
      </w:r>
      <w:proofErr w:type="spellStart"/>
      <w:r w:rsidRPr="00E439B6">
        <w:rPr>
          <w:rFonts w:ascii="Arial" w:hAnsi="Arial" w:cs="Arial"/>
          <w:lang w:val="en-US"/>
        </w:rPr>
        <w:t>TripleTOF</w:t>
      </w:r>
      <w:proofErr w:type="spellEnd"/>
      <w:r w:rsidRPr="00E439B6">
        <w:rPr>
          <w:rFonts w:ascii="Arial" w:hAnsi="Arial" w:cs="Arial"/>
          <w:lang w:val="en-US"/>
        </w:rPr>
        <w:t xml:space="preserve"> 5600+ mass spectrometer (</w:t>
      </w:r>
      <w:proofErr w:type="spellStart"/>
      <w:r w:rsidRPr="00E439B6">
        <w:rPr>
          <w:rFonts w:ascii="Arial" w:hAnsi="Arial" w:cs="Arial"/>
          <w:lang w:val="en-US"/>
        </w:rPr>
        <w:t>Sciex</w:t>
      </w:r>
      <w:proofErr w:type="spellEnd"/>
      <w:r w:rsidRPr="00E439B6">
        <w:rPr>
          <w:rFonts w:ascii="Arial" w:hAnsi="Arial" w:cs="Arial"/>
          <w:lang w:val="en-US"/>
        </w:rPr>
        <w:t xml:space="preserve">) interfaced to an </w:t>
      </w:r>
      <w:proofErr w:type="spellStart"/>
      <w:r w:rsidRPr="00E439B6">
        <w:rPr>
          <w:rFonts w:ascii="Arial" w:hAnsi="Arial" w:cs="Arial"/>
          <w:lang w:val="en-US"/>
        </w:rPr>
        <w:t>Eksigent</w:t>
      </w:r>
      <w:proofErr w:type="spellEnd"/>
      <w:r w:rsidRPr="00E439B6">
        <w:rPr>
          <w:rFonts w:ascii="Arial" w:hAnsi="Arial" w:cs="Arial"/>
          <w:lang w:val="en-US"/>
        </w:rPr>
        <w:t xml:space="preserve"> </w:t>
      </w:r>
      <w:proofErr w:type="spellStart"/>
      <w:r w:rsidRPr="00E439B6">
        <w:rPr>
          <w:rFonts w:ascii="Arial" w:hAnsi="Arial" w:cs="Arial"/>
          <w:lang w:val="en-US"/>
        </w:rPr>
        <w:t>nanoLC</w:t>
      </w:r>
      <w:proofErr w:type="spellEnd"/>
      <w:r w:rsidRPr="00E439B6">
        <w:rPr>
          <w:rFonts w:ascii="Arial" w:hAnsi="Arial" w:cs="Arial"/>
          <w:lang w:val="en-US"/>
        </w:rPr>
        <w:t xml:space="preserve"> ultra 2D pump system (</w:t>
      </w:r>
      <w:proofErr w:type="spellStart"/>
      <w:r w:rsidRPr="00E439B6">
        <w:rPr>
          <w:rFonts w:ascii="Arial" w:hAnsi="Arial" w:cs="Arial"/>
          <w:lang w:val="en-US"/>
        </w:rPr>
        <w:t>Sciex</w:t>
      </w:r>
      <w:proofErr w:type="spellEnd"/>
      <w:r w:rsidRPr="00E439B6">
        <w:rPr>
          <w:rFonts w:ascii="Arial" w:hAnsi="Arial" w:cs="Arial"/>
          <w:lang w:val="en-US"/>
        </w:rPr>
        <w:t xml:space="preserve">) fitted with a 75 </w:t>
      </w:r>
      <w:r w:rsidRPr="00E439B6">
        <w:rPr>
          <w:rFonts w:ascii="Arial" w:hAnsi="Arial" w:cs="Arial"/>
          <w:lang w:val="es-ES_tradnl"/>
        </w:rPr>
        <w:t>μ</w:t>
      </w:r>
      <w:r w:rsidRPr="00E439B6">
        <w:rPr>
          <w:rFonts w:ascii="Arial" w:hAnsi="Arial" w:cs="Arial"/>
          <w:lang w:val="en-US"/>
        </w:rPr>
        <w:t xml:space="preserve">m ID column (Thermo Scientific 0.075 × 250mm, particle size 3 </w:t>
      </w:r>
      <w:r w:rsidRPr="00E439B6">
        <w:rPr>
          <w:rFonts w:ascii="Arial" w:hAnsi="Arial" w:cs="Arial"/>
          <w:lang w:val="es-ES_tradnl"/>
        </w:rPr>
        <w:t>μ</w:t>
      </w:r>
      <w:r w:rsidRPr="00E439B6">
        <w:rPr>
          <w:rFonts w:ascii="Arial" w:hAnsi="Arial" w:cs="Arial"/>
          <w:lang w:val="en-US"/>
        </w:rPr>
        <w:t xml:space="preserve">m and pore size 100 Å). Prior to separation, the peptides were concentrated on a C18 precolumn (Thermo Scientific 0.1 × 50mm, particle size 5 </w:t>
      </w:r>
      <w:r w:rsidRPr="00E439B6">
        <w:rPr>
          <w:rFonts w:ascii="Arial" w:hAnsi="Arial" w:cs="Arial"/>
          <w:lang w:val="es-ES_tradnl"/>
        </w:rPr>
        <w:t>μ</w:t>
      </w:r>
      <w:r w:rsidRPr="00E439B6">
        <w:rPr>
          <w:rFonts w:ascii="Arial" w:hAnsi="Arial" w:cs="Arial"/>
          <w:lang w:val="en-US"/>
        </w:rPr>
        <w:t xml:space="preserve">m and pore size 100 Å). Mobile phases were 100% water 0.1% formic acid (FA) (buffer A) and 100% Acetonitrile 0.1% FA (buffer B). Column gradient was developed in a gradient from 2% B to 40% B in 120 min. Column was equilibrated in 95% B for 10 min and 2% B for 10 min. During all process, precolumn was in line with column and flow maintained all along the gradient at 300 </w:t>
      </w:r>
      <w:proofErr w:type="spellStart"/>
      <w:r w:rsidRPr="00E439B6">
        <w:rPr>
          <w:rFonts w:ascii="Arial" w:hAnsi="Arial" w:cs="Arial"/>
          <w:lang w:val="en-US"/>
        </w:rPr>
        <w:t>nl</w:t>
      </w:r>
      <w:proofErr w:type="spellEnd"/>
      <w:r w:rsidRPr="00E439B6">
        <w:rPr>
          <w:rFonts w:ascii="Arial" w:hAnsi="Arial" w:cs="Arial"/>
          <w:lang w:val="en-US"/>
        </w:rPr>
        <w:t xml:space="preserve">/min. Output of the separation column was directly coupled to </w:t>
      </w:r>
      <w:proofErr w:type="spellStart"/>
      <w:r w:rsidRPr="00E439B6">
        <w:rPr>
          <w:rFonts w:ascii="Arial" w:hAnsi="Arial" w:cs="Arial"/>
          <w:lang w:val="en-US"/>
        </w:rPr>
        <w:t>nano</w:t>
      </w:r>
      <w:proofErr w:type="spellEnd"/>
      <w:r w:rsidRPr="00E439B6">
        <w:rPr>
          <w:rFonts w:ascii="Arial" w:hAnsi="Arial" w:cs="Arial"/>
          <w:lang w:val="en-US"/>
        </w:rPr>
        <w:t xml:space="preserve">-electrospray source. </w:t>
      </w:r>
    </w:p>
    <w:p w:rsidR="005161FF" w:rsidRPr="00E439B6" w:rsidRDefault="005161FF" w:rsidP="006C59A2">
      <w:pPr>
        <w:spacing w:line="480" w:lineRule="auto"/>
        <w:jc w:val="both"/>
        <w:rPr>
          <w:rFonts w:ascii="Arial" w:hAnsi="Arial" w:cs="Arial"/>
          <w:b/>
          <w:lang w:val="en-GB"/>
        </w:rPr>
      </w:pPr>
    </w:p>
    <w:p w:rsidR="005161FF" w:rsidRPr="00E439B6" w:rsidRDefault="005161FF" w:rsidP="006C59A2">
      <w:pPr>
        <w:spacing w:line="480" w:lineRule="auto"/>
        <w:jc w:val="both"/>
        <w:rPr>
          <w:rFonts w:ascii="Arial" w:hAnsi="Arial" w:cs="Arial"/>
          <w:b/>
          <w:lang w:val="en-GB"/>
        </w:rPr>
      </w:pPr>
      <w:r w:rsidRPr="00E439B6">
        <w:rPr>
          <w:rFonts w:ascii="Arial" w:hAnsi="Arial" w:cs="Arial"/>
          <w:b/>
          <w:lang w:val="en-US"/>
        </w:rPr>
        <w:t>REFERENCES</w:t>
      </w:r>
    </w:p>
    <w:p w:rsidR="005161FF" w:rsidRPr="00E439B6" w:rsidRDefault="005161FF" w:rsidP="006C59A2">
      <w:pPr>
        <w:widowControl w:val="0"/>
        <w:autoSpaceDE w:val="0"/>
        <w:autoSpaceDN w:val="0"/>
        <w:adjustRightInd w:val="0"/>
        <w:spacing w:line="480" w:lineRule="auto"/>
        <w:ind w:left="640" w:hanging="640"/>
        <w:rPr>
          <w:rFonts w:ascii="Arial" w:hAnsi="Arial" w:cs="Arial"/>
          <w:noProof/>
          <w:lang w:val="en-US"/>
        </w:rPr>
      </w:pPr>
      <w:r w:rsidRPr="006C59A2">
        <w:rPr>
          <w:rFonts w:ascii="Arial" w:hAnsi="Arial" w:cs="Arial"/>
          <w:lang w:val="en-GB"/>
        </w:rPr>
        <w:fldChar w:fldCharType="begin" w:fldLock="1"/>
      </w:r>
      <w:r w:rsidRPr="00E439B6">
        <w:rPr>
          <w:rFonts w:ascii="Arial" w:hAnsi="Arial" w:cs="Arial"/>
          <w:lang w:val="en-GB"/>
        </w:rPr>
        <w:instrText xml:space="preserve">ADDIN Mendeley Bibliography CSL_BIBLIOGRAPHY </w:instrText>
      </w:r>
      <w:r w:rsidRPr="006C59A2">
        <w:rPr>
          <w:rFonts w:ascii="Arial" w:hAnsi="Arial" w:cs="Arial"/>
          <w:lang w:val="en-GB"/>
        </w:rPr>
        <w:fldChar w:fldCharType="separate"/>
      </w:r>
      <w:r w:rsidRPr="00E439B6">
        <w:rPr>
          <w:rFonts w:ascii="Arial" w:hAnsi="Arial" w:cs="Arial"/>
          <w:noProof/>
          <w:szCs w:val="24"/>
          <w:lang w:val="en-US"/>
        </w:rPr>
        <w:t xml:space="preserve">1 </w:t>
      </w:r>
      <w:r w:rsidRPr="00E439B6">
        <w:rPr>
          <w:rFonts w:ascii="Arial" w:hAnsi="Arial" w:cs="Arial"/>
          <w:noProof/>
          <w:szCs w:val="24"/>
          <w:lang w:val="en-US"/>
        </w:rPr>
        <w:tab/>
        <w:t xml:space="preserve">Shevchenko A, Tomas H, Havliš J, Olsen J V., Mann M. In-gel digestion for mass spectrometric characterization of proteins and proteomes. </w:t>
      </w:r>
      <w:r w:rsidRPr="00E439B6">
        <w:rPr>
          <w:rFonts w:ascii="Arial" w:hAnsi="Arial" w:cs="Arial"/>
          <w:i/>
          <w:iCs/>
          <w:noProof/>
          <w:szCs w:val="24"/>
          <w:lang w:val="en-US"/>
        </w:rPr>
        <w:t>Nat Protoc</w:t>
      </w:r>
      <w:r w:rsidRPr="00E439B6">
        <w:rPr>
          <w:rFonts w:ascii="Arial" w:hAnsi="Arial" w:cs="Arial"/>
          <w:noProof/>
          <w:szCs w:val="24"/>
          <w:lang w:val="en-US"/>
        </w:rPr>
        <w:t xml:space="preserve"> 2007; </w:t>
      </w:r>
      <w:r w:rsidRPr="00E439B6">
        <w:rPr>
          <w:rFonts w:ascii="Arial" w:hAnsi="Arial" w:cs="Arial"/>
          <w:b/>
          <w:bCs/>
          <w:noProof/>
          <w:szCs w:val="24"/>
          <w:lang w:val="en-US"/>
        </w:rPr>
        <w:t>1</w:t>
      </w:r>
      <w:r w:rsidRPr="00E439B6">
        <w:rPr>
          <w:rFonts w:ascii="Arial" w:hAnsi="Arial" w:cs="Arial"/>
          <w:noProof/>
          <w:szCs w:val="24"/>
          <w:lang w:val="en-US"/>
        </w:rPr>
        <w:t>: 2856–2860.</w:t>
      </w:r>
    </w:p>
    <w:p w:rsidR="005161FF" w:rsidRPr="00C54536" w:rsidRDefault="005161FF" w:rsidP="00C54536">
      <w:pPr>
        <w:spacing w:after="200" w:line="480" w:lineRule="auto"/>
        <w:rPr>
          <w:rFonts w:ascii="Arial" w:hAnsi="Arial" w:cs="Arial"/>
          <w:b/>
          <w:lang w:val="en-GB"/>
        </w:rPr>
      </w:pPr>
      <w:r w:rsidRPr="006C59A2">
        <w:rPr>
          <w:rFonts w:ascii="Arial" w:hAnsi="Arial" w:cs="Arial"/>
          <w:lang w:val="en-GB"/>
        </w:rPr>
        <w:fldChar w:fldCharType="end"/>
      </w:r>
    </w:p>
    <w:p w:rsidR="005161FF" w:rsidRPr="00E439B6" w:rsidRDefault="005161FF" w:rsidP="006C59A2">
      <w:pPr>
        <w:widowControl w:val="0"/>
        <w:autoSpaceDE w:val="0"/>
        <w:autoSpaceDN w:val="0"/>
        <w:adjustRightInd w:val="0"/>
        <w:spacing w:line="480" w:lineRule="auto"/>
        <w:ind w:left="640" w:hanging="640"/>
        <w:jc w:val="both"/>
        <w:rPr>
          <w:rFonts w:ascii="Arial" w:hAnsi="Arial" w:cs="Arial"/>
          <w:lang w:val="en-US"/>
        </w:rPr>
      </w:pPr>
    </w:p>
    <w:p w:rsidR="005161FF" w:rsidRPr="00E439B6" w:rsidRDefault="005161FF" w:rsidP="006C59A2">
      <w:pPr>
        <w:widowControl w:val="0"/>
        <w:autoSpaceDE w:val="0"/>
        <w:autoSpaceDN w:val="0"/>
        <w:adjustRightInd w:val="0"/>
        <w:spacing w:line="480" w:lineRule="auto"/>
        <w:ind w:left="640" w:hanging="640"/>
        <w:jc w:val="both"/>
        <w:rPr>
          <w:rFonts w:ascii="Arial" w:hAnsi="Arial" w:cs="Arial"/>
          <w:lang w:val="en-US"/>
        </w:rPr>
      </w:pPr>
    </w:p>
    <w:p w:rsidR="005161FF" w:rsidRPr="00E439B6" w:rsidRDefault="005161FF" w:rsidP="006C59A2">
      <w:pPr>
        <w:widowControl w:val="0"/>
        <w:autoSpaceDE w:val="0"/>
        <w:autoSpaceDN w:val="0"/>
        <w:adjustRightInd w:val="0"/>
        <w:spacing w:line="480" w:lineRule="auto"/>
        <w:ind w:left="640" w:hanging="640"/>
        <w:jc w:val="both"/>
        <w:rPr>
          <w:rFonts w:ascii="Arial" w:hAnsi="Arial" w:cs="Arial"/>
          <w:lang w:val="en-US"/>
        </w:rPr>
      </w:pPr>
    </w:p>
    <w:p w:rsidR="00C54536" w:rsidRDefault="00C54536" w:rsidP="006C59A2">
      <w:pPr>
        <w:widowControl w:val="0"/>
        <w:autoSpaceDE w:val="0"/>
        <w:autoSpaceDN w:val="0"/>
        <w:adjustRightInd w:val="0"/>
        <w:spacing w:line="480" w:lineRule="auto"/>
        <w:jc w:val="both"/>
        <w:rPr>
          <w:rFonts w:ascii="Arial" w:hAnsi="Arial" w:cs="Arial"/>
          <w:lang w:val="en-US"/>
        </w:rPr>
      </w:pPr>
    </w:p>
    <w:p w:rsidR="00C54536" w:rsidRDefault="00C54536" w:rsidP="006C59A2">
      <w:pPr>
        <w:widowControl w:val="0"/>
        <w:autoSpaceDE w:val="0"/>
        <w:autoSpaceDN w:val="0"/>
        <w:adjustRightInd w:val="0"/>
        <w:spacing w:line="480" w:lineRule="auto"/>
        <w:jc w:val="both"/>
        <w:rPr>
          <w:rFonts w:ascii="Arial" w:hAnsi="Arial" w:cs="Arial"/>
          <w:b/>
          <w:lang w:val="en-GB"/>
        </w:rPr>
      </w:pPr>
    </w:p>
    <w:p w:rsidR="00C54536" w:rsidRDefault="00C54536" w:rsidP="006C59A2">
      <w:pPr>
        <w:widowControl w:val="0"/>
        <w:autoSpaceDE w:val="0"/>
        <w:autoSpaceDN w:val="0"/>
        <w:adjustRightInd w:val="0"/>
        <w:spacing w:line="480" w:lineRule="auto"/>
        <w:jc w:val="both"/>
        <w:rPr>
          <w:rFonts w:ascii="Arial" w:hAnsi="Arial" w:cs="Arial"/>
          <w:b/>
          <w:lang w:val="en-GB"/>
        </w:rPr>
      </w:pPr>
    </w:p>
    <w:p w:rsidR="005161FF" w:rsidRPr="00E439B6" w:rsidRDefault="005161FF" w:rsidP="006C59A2">
      <w:pPr>
        <w:widowControl w:val="0"/>
        <w:autoSpaceDE w:val="0"/>
        <w:autoSpaceDN w:val="0"/>
        <w:adjustRightInd w:val="0"/>
        <w:spacing w:line="480" w:lineRule="auto"/>
        <w:ind w:left="640" w:hanging="640"/>
        <w:jc w:val="both"/>
        <w:rPr>
          <w:rFonts w:ascii="Arial" w:hAnsi="Arial" w:cs="Arial"/>
          <w:lang w:val="en-US"/>
        </w:rPr>
      </w:pPr>
      <w:bookmarkStart w:id="0" w:name="_GoBack"/>
      <w:bookmarkEnd w:id="0"/>
    </w:p>
    <w:p w:rsidR="005161FF" w:rsidRPr="00E439B6" w:rsidRDefault="005161FF" w:rsidP="006C59A2">
      <w:pPr>
        <w:widowControl w:val="0"/>
        <w:autoSpaceDE w:val="0"/>
        <w:autoSpaceDN w:val="0"/>
        <w:adjustRightInd w:val="0"/>
        <w:spacing w:line="480" w:lineRule="auto"/>
        <w:ind w:left="640" w:hanging="640"/>
        <w:jc w:val="both"/>
        <w:rPr>
          <w:rFonts w:ascii="Arial" w:hAnsi="Arial" w:cs="Arial"/>
          <w:lang w:val="en-US"/>
        </w:rPr>
      </w:pPr>
    </w:p>
    <w:p w:rsidR="005161FF" w:rsidRPr="00E439B6" w:rsidRDefault="005161FF" w:rsidP="006C59A2">
      <w:pPr>
        <w:widowControl w:val="0"/>
        <w:autoSpaceDE w:val="0"/>
        <w:autoSpaceDN w:val="0"/>
        <w:adjustRightInd w:val="0"/>
        <w:spacing w:line="480" w:lineRule="auto"/>
        <w:ind w:left="640" w:hanging="640"/>
        <w:jc w:val="both"/>
        <w:rPr>
          <w:rFonts w:ascii="Arial" w:hAnsi="Arial" w:cs="Arial"/>
          <w:lang w:val="en-US"/>
        </w:rPr>
      </w:pPr>
    </w:p>
    <w:p w:rsidR="005161FF" w:rsidRPr="00E439B6" w:rsidRDefault="005161FF" w:rsidP="006C59A2">
      <w:pPr>
        <w:widowControl w:val="0"/>
        <w:autoSpaceDE w:val="0"/>
        <w:autoSpaceDN w:val="0"/>
        <w:adjustRightInd w:val="0"/>
        <w:spacing w:line="480" w:lineRule="auto"/>
        <w:ind w:left="640" w:hanging="640"/>
        <w:jc w:val="both"/>
        <w:rPr>
          <w:rFonts w:ascii="Arial" w:hAnsi="Arial" w:cs="Arial"/>
          <w:lang w:val="en-US"/>
        </w:rPr>
      </w:pPr>
    </w:p>
    <w:p w:rsidR="005161FF" w:rsidRPr="00E439B6" w:rsidRDefault="005161FF" w:rsidP="006C59A2">
      <w:pPr>
        <w:widowControl w:val="0"/>
        <w:autoSpaceDE w:val="0"/>
        <w:autoSpaceDN w:val="0"/>
        <w:adjustRightInd w:val="0"/>
        <w:spacing w:line="480" w:lineRule="auto"/>
        <w:ind w:left="640" w:hanging="640"/>
        <w:jc w:val="both"/>
        <w:rPr>
          <w:rFonts w:ascii="Arial" w:hAnsi="Arial" w:cs="Arial"/>
          <w:lang w:val="en-US"/>
        </w:rPr>
      </w:pPr>
    </w:p>
    <w:p w:rsidR="005161FF" w:rsidRPr="00E439B6" w:rsidRDefault="005161FF" w:rsidP="006C59A2">
      <w:pPr>
        <w:widowControl w:val="0"/>
        <w:autoSpaceDE w:val="0"/>
        <w:autoSpaceDN w:val="0"/>
        <w:adjustRightInd w:val="0"/>
        <w:spacing w:line="480" w:lineRule="auto"/>
        <w:ind w:left="640" w:hanging="640"/>
        <w:jc w:val="both"/>
        <w:rPr>
          <w:rFonts w:ascii="Arial" w:hAnsi="Arial" w:cs="Arial"/>
          <w:lang w:val="en-US"/>
        </w:rPr>
      </w:pPr>
    </w:p>
    <w:p w:rsidR="005161FF" w:rsidRPr="00E439B6" w:rsidRDefault="005161FF" w:rsidP="006C59A2">
      <w:pPr>
        <w:widowControl w:val="0"/>
        <w:autoSpaceDE w:val="0"/>
        <w:autoSpaceDN w:val="0"/>
        <w:adjustRightInd w:val="0"/>
        <w:spacing w:line="480" w:lineRule="auto"/>
        <w:ind w:left="640" w:hanging="640"/>
        <w:jc w:val="both"/>
        <w:rPr>
          <w:rFonts w:ascii="Arial" w:hAnsi="Arial" w:cs="Arial"/>
          <w:lang w:val="en-US"/>
        </w:rPr>
      </w:pPr>
    </w:p>
    <w:p w:rsidR="005161FF" w:rsidRPr="00E439B6" w:rsidRDefault="005161FF" w:rsidP="006C59A2">
      <w:pPr>
        <w:widowControl w:val="0"/>
        <w:autoSpaceDE w:val="0"/>
        <w:autoSpaceDN w:val="0"/>
        <w:adjustRightInd w:val="0"/>
        <w:spacing w:line="480" w:lineRule="auto"/>
        <w:ind w:left="640" w:hanging="640"/>
        <w:jc w:val="both"/>
        <w:rPr>
          <w:rFonts w:ascii="Arial" w:hAnsi="Arial" w:cs="Arial"/>
          <w:lang w:val="en-US"/>
        </w:rPr>
      </w:pPr>
    </w:p>
    <w:p w:rsidR="005161FF" w:rsidRPr="00E439B6" w:rsidRDefault="005161FF" w:rsidP="006C59A2">
      <w:pPr>
        <w:widowControl w:val="0"/>
        <w:autoSpaceDE w:val="0"/>
        <w:autoSpaceDN w:val="0"/>
        <w:adjustRightInd w:val="0"/>
        <w:spacing w:line="480" w:lineRule="auto"/>
        <w:ind w:left="640" w:hanging="640"/>
        <w:jc w:val="both"/>
        <w:rPr>
          <w:rFonts w:ascii="Arial" w:hAnsi="Arial" w:cs="Arial"/>
          <w:lang w:val="en-US"/>
        </w:rPr>
      </w:pPr>
    </w:p>
    <w:p w:rsidR="005161FF" w:rsidRPr="00E439B6" w:rsidRDefault="005161FF" w:rsidP="006C59A2">
      <w:pPr>
        <w:widowControl w:val="0"/>
        <w:autoSpaceDE w:val="0"/>
        <w:autoSpaceDN w:val="0"/>
        <w:adjustRightInd w:val="0"/>
        <w:spacing w:line="480" w:lineRule="auto"/>
        <w:ind w:left="640" w:hanging="640"/>
        <w:jc w:val="both"/>
        <w:rPr>
          <w:rFonts w:ascii="Arial" w:hAnsi="Arial" w:cs="Arial"/>
          <w:lang w:val="en-US"/>
        </w:rPr>
      </w:pPr>
    </w:p>
    <w:p w:rsidR="00B66A7C" w:rsidRPr="00E439B6" w:rsidRDefault="00B66A7C" w:rsidP="006C59A2">
      <w:pPr>
        <w:widowControl w:val="0"/>
        <w:autoSpaceDE w:val="0"/>
        <w:autoSpaceDN w:val="0"/>
        <w:adjustRightInd w:val="0"/>
        <w:spacing w:line="480" w:lineRule="auto"/>
        <w:ind w:left="640" w:hanging="640"/>
        <w:jc w:val="both"/>
        <w:rPr>
          <w:rFonts w:ascii="Arial" w:hAnsi="Arial" w:cs="Arial"/>
          <w:lang w:val="en-US"/>
        </w:rPr>
      </w:pPr>
    </w:p>
    <w:sectPr w:rsidR="00B66A7C" w:rsidRPr="00E439B6" w:rsidSect="006C59A2">
      <w:pgSz w:w="12240" w:h="15840"/>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C7038" w:rsidRDefault="006C7038" w:rsidP="00B66A7C">
      <w:pPr>
        <w:spacing w:after="0" w:line="240" w:lineRule="auto"/>
      </w:pPr>
      <w:r>
        <w:separator/>
      </w:r>
    </w:p>
  </w:endnote>
  <w:endnote w:type="continuationSeparator" w:id="0">
    <w:p w:rsidR="006C7038" w:rsidRDefault="006C7038" w:rsidP="00B66A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C7038" w:rsidRDefault="006C7038" w:rsidP="00B66A7C">
      <w:pPr>
        <w:spacing w:after="0" w:line="240" w:lineRule="auto"/>
      </w:pPr>
      <w:r>
        <w:separator/>
      </w:r>
    </w:p>
  </w:footnote>
  <w:footnote w:type="continuationSeparator" w:id="0">
    <w:p w:rsidR="006C7038" w:rsidRDefault="006C7038" w:rsidP="00B66A7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3422A"/>
    <w:rsid w:val="000A069F"/>
    <w:rsid w:val="000B5406"/>
    <w:rsid w:val="0010649C"/>
    <w:rsid w:val="004763A2"/>
    <w:rsid w:val="005161FF"/>
    <w:rsid w:val="005A4C9C"/>
    <w:rsid w:val="0063422A"/>
    <w:rsid w:val="0066268C"/>
    <w:rsid w:val="006C59A2"/>
    <w:rsid w:val="006C7038"/>
    <w:rsid w:val="008175A7"/>
    <w:rsid w:val="00AE533C"/>
    <w:rsid w:val="00B26F13"/>
    <w:rsid w:val="00B66A7C"/>
    <w:rsid w:val="00C54536"/>
    <w:rsid w:val="00D4560E"/>
    <w:rsid w:val="00DE09A4"/>
    <w:rsid w:val="00E439B6"/>
    <w:rsid w:val="00EB4914"/>
    <w:rsid w:val="00F764B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3422A"/>
    <w:pPr>
      <w:spacing w:after="160" w:line="259" w:lineRule="auto"/>
    </w:pPr>
    <w:rPr>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Refdecomentario">
    <w:name w:val="annotation reference"/>
    <w:basedOn w:val="Fuentedeprrafopredeter"/>
    <w:uiPriority w:val="99"/>
    <w:semiHidden/>
    <w:unhideWhenUsed/>
    <w:rsid w:val="0063422A"/>
    <w:rPr>
      <w:sz w:val="16"/>
      <w:szCs w:val="16"/>
    </w:rPr>
  </w:style>
  <w:style w:type="paragraph" w:styleId="Textocomentario">
    <w:name w:val="annotation text"/>
    <w:basedOn w:val="Normal"/>
    <w:link w:val="TextocomentarioCar"/>
    <w:uiPriority w:val="99"/>
    <w:unhideWhenUsed/>
    <w:rsid w:val="0063422A"/>
    <w:pPr>
      <w:spacing w:line="240" w:lineRule="auto"/>
    </w:pPr>
    <w:rPr>
      <w:sz w:val="20"/>
      <w:szCs w:val="20"/>
    </w:rPr>
  </w:style>
  <w:style w:type="character" w:customStyle="1" w:styleId="TextocomentarioCar">
    <w:name w:val="Texto comentario Car"/>
    <w:basedOn w:val="Fuentedeprrafopredeter"/>
    <w:link w:val="Textocomentario"/>
    <w:uiPriority w:val="99"/>
    <w:rsid w:val="0063422A"/>
    <w:rPr>
      <w:sz w:val="20"/>
      <w:szCs w:val="20"/>
      <w:lang w:val="es-ES"/>
    </w:rPr>
  </w:style>
  <w:style w:type="paragraph" w:styleId="Textodeglobo">
    <w:name w:val="Balloon Text"/>
    <w:basedOn w:val="Normal"/>
    <w:link w:val="TextodegloboCar"/>
    <w:uiPriority w:val="99"/>
    <w:semiHidden/>
    <w:unhideWhenUsed/>
    <w:rsid w:val="0063422A"/>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63422A"/>
    <w:rPr>
      <w:rFonts w:ascii="Tahoma" w:hAnsi="Tahoma" w:cs="Tahoma"/>
      <w:sz w:val="16"/>
      <w:szCs w:val="16"/>
      <w:lang w:val="es-ES"/>
    </w:rPr>
  </w:style>
  <w:style w:type="paragraph" w:styleId="Encabezado">
    <w:name w:val="header"/>
    <w:basedOn w:val="Normal"/>
    <w:link w:val="EncabezadoCar"/>
    <w:uiPriority w:val="99"/>
    <w:unhideWhenUsed/>
    <w:rsid w:val="00B66A7C"/>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B66A7C"/>
    <w:rPr>
      <w:lang w:val="es-ES"/>
    </w:rPr>
  </w:style>
  <w:style w:type="paragraph" w:styleId="Piedepgina">
    <w:name w:val="footer"/>
    <w:basedOn w:val="Normal"/>
    <w:link w:val="PiedepginaCar"/>
    <w:uiPriority w:val="99"/>
    <w:unhideWhenUsed/>
    <w:rsid w:val="00B66A7C"/>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B66A7C"/>
    <w:rPr>
      <w:lang w:val="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3422A"/>
    <w:pPr>
      <w:spacing w:after="160" w:line="259" w:lineRule="auto"/>
    </w:pPr>
    <w:rPr>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Refdecomentario">
    <w:name w:val="annotation reference"/>
    <w:basedOn w:val="Fuentedeprrafopredeter"/>
    <w:uiPriority w:val="99"/>
    <w:semiHidden/>
    <w:unhideWhenUsed/>
    <w:rsid w:val="0063422A"/>
    <w:rPr>
      <w:sz w:val="16"/>
      <w:szCs w:val="16"/>
    </w:rPr>
  </w:style>
  <w:style w:type="paragraph" w:styleId="Textocomentario">
    <w:name w:val="annotation text"/>
    <w:basedOn w:val="Normal"/>
    <w:link w:val="TextocomentarioCar"/>
    <w:uiPriority w:val="99"/>
    <w:unhideWhenUsed/>
    <w:rsid w:val="0063422A"/>
    <w:pPr>
      <w:spacing w:line="240" w:lineRule="auto"/>
    </w:pPr>
    <w:rPr>
      <w:sz w:val="20"/>
      <w:szCs w:val="20"/>
    </w:rPr>
  </w:style>
  <w:style w:type="character" w:customStyle="1" w:styleId="TextocomentarioCar">
    <w:name w:val="Texto comentario Car"/>
    <w:basedOn w:val="Fuentedeprrafopredeter"/>
    <w:link w:val="Textocomentario"/>
    <w:uiPriority w:val="99"/>
    <w:rsid w:val="0063422A"/>
    <w:rPr>
      <w:sz w:val="20"/>
      <w:szCs w:val="20"/>
      <w:lang w:val="es-ES"/>
    </w:rPr>
  </w:style>
  <w:style w:type="paragraph" w:styleId="Textodeglobo">
    <w:name w:val="Balloon Text"/>
    <w:basedOn w:val="Normal"/>
    <w:link w:val="TextodegloboCar"/>
    <w:uiPriority w:val="99"/>
    <w:semiHidden/>
    <w:unhideWhenUsed/>
    <w:rsid w:val="0063422A"/>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63422A"/>
    <w:rPr>
      <w:rFonts w:ascii="Tahoma" w:hAnsi="Tahoma" w:cs="Tahoma"/>
      <w:sz w:val="16"/>
      <w:szCs w:val="16"/>
      <w:lang w:val="es-ES"/>
    </w:rPr>
  </w:style>
  <w:style w:type="paragraph" w:styleId="Encabezado">
    <w:name w:val="header"/>
    <w:basedOn w:val="Normal"/>
    <w:link w:val="EncabezadoCar"/>
    <w:uiPriority w:val="99"/>
    <w:unhideWhenUsed/>
    <w:rsid w:val="00B66A7C"/>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B66A7C"/>
    <w:rPr>
      <w:lang w:val="es-ES"/>
    </w:rPr>
  </w:style>
  <w:style w:type="paragraph" w:styleId="Piedepgina">
    <w:name w:val="footer"/>
    <w:basedOn w:val="Normal"/>
    <w:link w:val="PiedepginaCar"/>
    <w:uiPriority w:val="99"/>
    <w:unhideWhenUsed/>
    <w:rsid w:val="00B66A7C"/>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B66A7C"/>
    <w:rPr>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3D02C2-2C87-4A8A-8EB9-85033C6E74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946</Words>
  <Characters>5209</Characters>
  <Application>Microsoft Office Word</Application>
  <DocSecurity>0</DocSecurity>
  <Lines>43</Lines>
  <Paragraphs>12</Paragraphs>
  <ScaleCrop>false</ScaleCrop>
  <HeadingPairs>
    <vt:vector size="2" baseType="variant">
      <vt:variant>
        <vt:lpstr>Título</vt:lpstr>
      </vt:variant>
      <vt:variant>
        <vt:i4>1</vt:i4>
      </vt:variant>
    </vt:vector>
  </HeadingPairs>
  <TitlesOfParts>
    <vt:vector size="1" baseType="lpstr">
      <vt:lpstr/>
    </vt:vector>
  </TitlesOfParts>
  <Company>FIMIM</Company>
  <LinksUpToDate>false</LinksUpToDate>
  <CharactersWithSpaces>6143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Barrera Conde, Marta</dc:creator>
  <cp:lastModifiedBy>ROBLEDO MONTOYA, PATRICIA</cp:lastModifiedBy>
  <cp:revision>3</cp:revision>
  <dcterms:created xsi:type="dcterms:W3CDTF">2021-02-17T08:36:00Z</dcterms:created>
  <dcterms:modified xsi:type="dcterms:W3CDTF">2021-02-17T08:53:00Z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Document_1">
    <vt:lpwstr>True</vt:lpwstr>
  </property>
  <property fmtid="{D5CDD505-2E9C-101B-9397-08002B2CF9AE}" pid="3" name="Mendeley Unique User Id_1">
    <vt:lpwstr>0f708386-847b-3ac6-8017-52e25259495f</vt:lpwstr>
  </property>
  <property fmtid="{D5CDD505-2E9C-101B-9397-08002B2CF9AE}" pid="4" name="Mendeley Citation Style_1">
    <vt:lpwstr>http://www.zotero.org/styles/translational-psychiatry</vt:lpwstr>
  </property>
  <property fmtid="{D5CDD505-2E9C-101B-9397-08002B2CF9AE}" pid="5" name="Mendeley Recent Style Id 0_1">
    <vt:lpwstr>http://www.zotero.org/styles/american-medical-association</vt:lpwstr>
  </property>
  <property fmtid="{D5CDD505-2E9C-101B-9397-08002B2CF9AE}" pid="6" name="Mendeley Recent Style Name 0_1">
    <vt:lpwstr>American Medical Association</vt:lpwstr>
  </property>
  <property fmtid="{D5CDD505-2E9C-101B-9397-08002B2CF9AE}" pid="7" name="Mendeley Recent Style Id 1_1">
    <vt:lpwstr>http://www.zotero.org/styles/american-political-science-association</vt:lpwstr>
  </property>
  <property fmtid="{D5CDD505-2E9C-101B-9397-08002B2CF9AE}" pid="8" name="Mendeley Recent Style Name 1_1">
    <vt:lpwstr>American Political Science Association</vt:lpwstr>
  </property>
  <property fmtid="{D5CDD505-2E9C-101B-9397-08002B2CF9AE}" pid="9" name="Mendeley Recent Style Id 2_1">
    <vt:lpwstr>http://www.zotero.org/styles/apa</vt:lpwstr>
  </property>
  <property fmtid="{D5CDD505-2E9C-101B-9397-08002B2CF9AE}" pid="10" name="Mendeley Recent Style Name 2_1">
    <vt:lpwstr>American Psychological Association 7th edition</vt:lpwstr>
  </property>
  <property fmtid="{D5CDD505-2E9C-101B-9397-08002B2CF9AE}" pid="11" name="Mendeley Recent Style Id 3_1">
    <vt:lpwstr>http://www.zotero.org/styles/american-sociological-association</vt:lpwstr>
  </property>
  <property fmtid="{D5CDD505-2E9C-101B-9397-08002B2CF9AE}" pid="12" name="Mendeley Recent Style Name 3_1">
    <vt:lpwstr>American Sociological Association</vt:lpwstr>
  </property>
  <property fmtid="{D5CDD505-2E9C-101B-9397-08002B2CF9AE}" pid="13" name="Mendeley Recent Style Id 4_1">
    <vt:lpwstr>http://www.zotero.org/styles/biomolecules</vt:lpwstr>
  </property>
  <property fmtid="{D5CDD505-2E9C-101B-9397-08002B2CF9AE}" pid="14" name="Mendeley Recent Style Name 4_1">
    <vt:lpwstr>Biomolecules</vt:lpwstr>
  </property>
  <property fmtid="{D5CDD505-2E9C-101B-9397-08002B2CF9AE}" pid="15" name="Mendeley Recent Style Id 5_1">
    <vt:lpwstr>http://www.zotero.org/styles/chicago-author-date</vt:lpwstr>
  </property>
  <property fmtid="{D5CDD505-2E9C-101B-9397-08002B2CF9AE}" pid="16" name="Mendeley Recent Style Name 5_1">
    <vt:lpwstr>Chicago Manual of Style 17th edition (author-date)</vt:lpwstr>
  </property>
  <property fmtid="{D5CDD505-2E9C-101B-9397-08002B2CF9AE}" pid="17" name="Mendeley Recent Style Id 6_1">
    <vt:lpwstr>http://www.zotero.org/styles/harvard1</vt:lpwstr>
  </property>
  <property fmtid="{D5CDD505-2E9C-101B-9397-08002B2CF9AE}" pid="18" name="Mendeley Recent Style Name 6_1">
    <vt:lpwstr>Harvard reference format 1 (deprecated)</vt:lpwstr>
  </property>
  <property fmtid="{D5CDD505-2E9C-101B-9397-08002B2CF9AE}" pid="19" name="Mendeley Recent Style Id 7_1">
    <vt:lpwstr>http://www.zotero.org/styles/ieee</vt:lpwstr>
  </property>
  <property fmtid="{D5CDD505-2E9C-101B-9397-08002B2CF9AE}" pid="20" name="Mendeley Recent Style Name 7_1">
    <vt:lpwstr>IEEE</vt:lpwstr>
  </property>
  <property fmtid="{D5CDD505-2E9C-101B-9397-08002B2CF9AE}" pid="21" name="Mendeley Recent Style Id 8_1">
    <vt:lpwstr>http://www.zotero.org/styles/the-world-journal-of-biological-psychiatry</vt:lpwstr>
  </property>
  <property fmtid="{D5CDD505-2E9C-101B-9397-08002B2CF9AE}" pid="22" name="Mendeley Recent Style Name 8_1">
    <vt:lpwstr>The World Journal of Biological Psychiatry</vt:lpwstr>
  </property>
  <property fmtid="{D5CDD505-2E9C-101B-9397-08002B2CF9AE}" pid="23" name="Mendeley Recent Style Id 9_1">
    <vt:lpwstr>http://www.zotero.org/styles/translational-psychiatry</vt:lpwstr>
  </property>
  <property fmtid="{D5CDD505-2E9C-101B-9397-08002B2CF9AE}" pid="24" name="Mendeley Recent Style Name 9_1">
    <vt:lpwstr>Translational Psychiatry</vt:lpwstr>
  </property>
</Properties>
</file>